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7"/>
        <w:keepNext/>
        <w:keepLines/>
        <w:widowControl w:val="0"/>
        <w:shd w:val="clear" w:color="auto" w:fill="auto"/>
        <w:bidi w:val="0"/>
        <w:spacing w:before="0" w:after="0" w:line="233" w:lineRule="auto"/>
        <w:ind w:left="1040" w:right="0" w:firstLine="0"/>
        <w:jc w:val="both"/>
        <w:rPr>
          <w:sz w:val="24"/>
          <w:szCs w:val="24"/>
        </w:rPr>
      </w:pPr>
      <w:bookmarkStart w:id="0" w:name="bookmark0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STAROSTA</w:t>
      </w:r>
      <w:bookmarkEnd w:id="0"/>
    </w:p>
    <w:p>
      <w:pPr>
        <w:pStyle w:val="Style7"/>
        <w:keepNext/>
        <w:keepLines/>
        <w:widowControl w:val="0"/>
        <w:shd w:val="clear" w:color="auto" w:fill="auto"/>
        <w:bidi w:val="0"/>
        <w:spacing w:before="0"/>
        <w:ind w:right="0"/>
        <w:jc w:val="both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4548505</wp:posOffset>
                </wp:positionH>
                <wp:positionV relativeFrom="paragraph">
                  <wp:posOffset>368300</wp:posOffset>
                </wp:positionV>
                <wp:extent cx="2185670" cy="18288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8567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Golub-Dobrzyń, dnJ... lipca2021 r.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58.15000000000003pt;margin-top:29.pt;width:172.09999999999999pt;height:14.4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Golub-Dobrzyń, dnJ... lipca2021 r.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2" w:name="bookmark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GOLUBSKO-DOBRZYŃSKI ul. Plac Tysiąclecia 25 87-400 Golub-Dobrzyń</w:t>
      </w:r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GN.6852.5.2020.Ac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DECYZJA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podstawie art. 124b ust. 1, 2, 2a i 3, art. 124a, art. 113 ust. 6 i 7, art. 114 ust. 3 i 4, art. 115 ust 3, art. 118a ust. 2 ustawy z dnia 21 sierpnia 1997 r. o gospodarce nieruchomościami (Dz. U. z 2020 r. poz. 1990 ze zm.), art. 104, art. 107 i art. 49 ustawy z dnia 14 czerwca 1960 r. Kodeks postępowania administracyjnego (t.j. Dz. U. z 2021 r. poz. 735), po rozpatrzeniu wniosku Energa-Operator S.A. z siedzibą w Gdańsku reprezentowanej przez Pawła Łuczak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orzekam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0" w:val="left"/>
        </w:tabs>
        <w:bidi w:val="0"/>
        <w:spacing w:before="0" w:after="0" w:line="240" w:lineRule="auto"/>
        <w:ind w:left="720" w:right="0" w:hanging="3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zobowiązaniu do udostępnienia nieruchomości o nieuregulowanym stanie prawnym, obejmującej część działek ewidencyjnych nr 266 i 268, położonych w obrębie Kujawa, gm. Golub-Dobrzyń na rzecz spółki Energa-Operator S.A. z siedzibą w Gdańsku w celu demontażu przewodów i słupów linii SN-15 kV, w związku z realizacją inwestycji skablowania linii elektroenergetycznej SN-15 kV relacji GPZ Golub-Dobrzyń - Lipnica - Poprzeczka Młyn Handlowy - Płonne, zgodnie z 2 załącznikami do decyzji.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0" w:val="left"/>
        </w:tabs>
        <w:bidi w:val="0"/>
        <w:spacing w:before="0" w:after="0" w:line="240" w:lineRule="auto"/>
        <w:ind w:left="0" w:right="0" w:firstLine="3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Nądaję decyzji rygor natychmiastowej wykonalności.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0" w:val="left"/>
        </w:tabs>
        <w:bidi w:val="0"/>
        <w:spacing w:before="0" w:after="0" w:line="240" w:lineRule="auto"/>
        <w:ind w:left="720" w:right="0" w:hanging="3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Obowiązek udostępnienia nieruchomości, o której mowa w pkt 1 niniejszej decyzji obejmuje okres sześciu miesięcy, licząc od dnia zajęcia tej nieruchomości,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0" w:val="left"/>
        </w:tabs>
        <w:bidi w:val="0"/>
        <w:spacing w:before="0" w:after="0" w:line="240" w:lineRule="auto"/>
        <w:ind w:left="720" w:right="0" w:hanging="3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Energa-Operator S.A. zobowiązana jest do przywrócenia nieruchomości, o której mowa w pkt 1 decyzji do stanu poprzedniego niezwłocznie po zakończeniu czynności związanych z demontażem linii napowietrznej.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0" w:val="left"/>
        </w:tabs>
        <w:bidi w:val="0"/>
        <w:spacing w:before="0" w:after="220" w:line="240" w:lineRule="auto"/>
        <w:ind w:left="0" w:right="0" w:firstLine="3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Obowiązek udostępnienia nieruchomości podlega egzekucji administracyjnej.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Uzasadnienie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Wnioskiem z dnia 13 listopada 2020 r. (data wpływu do urzędu 16 listopada 2020 r.), uzupełnionym dnia 23 grudnia 2020 r., Pan Paweł Łuczak działający w imieniu Energa-Operator S.A. z siedzibą w Gdańsku na podstawie pełnomocnictwa z dnia 1 lutego 2020 r. wystąpił do Starosty Golubsko-Dobrzyńskiego z wnioskiem o wydanie decyzji zobowiązującej do udostępnienia nieruchomości o nieuregulowanym stanie prawnym, położonej w obrębie Kujawa, gm. Golub- Dobrzyń, oznaczonej w ewidencji gruntów i budynków, jako działki 266 i 268 w sytuacji, gdy właściciel nieruchomości nie żyje i nie przeprowadzono lub nie zostało zakończone postępowanie spadkowe. Wnioskowany zakres ograniczenia sposobu korzystania z ww. nieruchomości obejmuje zezwolenie na prace polegające na demontażu przewodów i słupów linii SN-15 kV, w związku z realizacją inwestycji skablowania linii elektroenergetycznej SN-15 kV relacji GPZ Golub-Dobrzyń - Lipnica - Poprzeczka Młyn Handlowy - Płonne. Jednocześnie spółka wnosi o wydanie przedmiotowej decyzji na okres 6 miesięcy od dnia zajęcia nieruchomości oraz o nadanie decyzji rygoru natychmiastowej wykonalności na podstawie art. 124b ust 2a ustawy o gospodarce nieruchomościami.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Prace związane z planowaną inwestycją na działce nr 266 będą polegały na demontażu linii napowietrznej SN-15 kV na długości 72m oraz demontażu jednego słupa P-12/ŻN nr 64, powierzchnia zajęcia pasa 573,50 m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, czas zajęcia działki to 3 dni robocze. Prace związane z planowaną inwestycją na działce nr 268 będą polegały na demontażu linii napowietrznej SN-15 kV na długości 97m oraz demontażu jednego słupa P-12/ŻN nr 63, powierzchnia zajęcia pasa 816,60 m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, czas zajęcia działki to 3 dni robocze. Do wykonania przedmiotowych prac zostanie użyty sprzęt w postaci koparko- ładowarki, podnośnika koszowego, dźwigu terenowego oraz samochodu brygadowego do 3,5t.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Zgodnie z art. 124b ust. 1 ustawy z dnia 21 sierpnia 1997 r. o gospodarce nieruchomościami (Dz. U. z 2020 r. poz. 1990 ze zm.) Starosta, wykonujący zadanie z zakresu administracji rządowej, w drodze decyzji zobowiązuje właściciela, użytkownika wieczystego lub osobę, której przysługują inne prawa rzeczowe do nieruchomości do udostępnienia nieruchomości w celu wykonania czynności związanych z konserwacją, remontami oraz usuwaniem awarii ciągów drenażowych, przewodów i urządzeń, nienależących do części składowych nieruchomości, służących do przesyłania lub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dystrybucji płynów, pary, gazów i energii elektrycznej oraz urządzeń łączności publicznej i sygnalizacji, a także innych podziemnych, naziemnych lub nadziemnych obiektów i urządzeń niezbędnych do korzystania z tych przewodów i urządzeń, a także usuwaniem z gruntu tych ciągów, przewodów, urządzeń i obiektów, jeżeli właściciel, użytkownik wieczysty lub osoba, której przysługują inne prawa rzeczowe do nieruchomości nie wyraża na to zgody. Decyzja o zobowiązaniu do udostępnienia nieruchomości może być wydana w celu zapewnienia dojazdu umożliwiającego wykonanie czynności.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brzmienia przepisu wynika, że może on być zastosowany jedynie wtedy, kiedy wystąpią łącznie dwie przesłanki: wystąpi konieczność wykonania czynności związanych z konserwacją, remontami oraz usuwaniem awarii wymienionych w przepisie ciągów drenażowych, przewodów i urządzeń, a także usuwaniem z gruntu tych ciągów, przewodów, urządzeń i obiektów oraz właściciel lub użytkownik wieczysty bądź osoba, której przysługują inne prawa rzeczowe do nieruchomości, nie wyraża zgody na takie udostępnienie.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Zgodnie z treścią dokumentów dołączonych do wniosku oraz mapą do celów projektowych, stwierdzono, że na terenie działek oznaczonych w ewidencji gruntów i budynków nr 266 i 268 położonych w obrębie Kujawa, gm. Golub-Dobrzyń usytuowana jest linia elektroenergetyczna. Jak uzasadnia wnioskodawca zachodzi konieczność przeprowadzenia prac związanych z demontażem przewodów i słupów linii SN-15 kV, w związku z realizacją inwestycji skablowania linii elektroenergetycznej SN-15 kV relacji GPZ Golub-Dobrzyń - Lipnica - Poprzeczka Młyn Handlowy - Płonne.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Starosta Golubsko-Dobrzyński na podstawie dokumentów oraz danych zawartych w operacie ewidencji gruntów i budynków (dla przedmiotowych działek brak jest założonej księgi wieczystej) ustalił, iż właścicielem przedmiotowej nieruchomości są Państwo Jan Romanowski i jego żona Ema Romanowska. Następnie Starosta zwrócił się z wnioskiem do Wójta Gminy Radomin o wydanie aktu zgonu dla Jana i Emy Romanowskich w celu zbadania czy przeprowadzono po nich postępowanie spadkowe. Po uzyskaniu dokumentów z urzędu Gminy w Radominie oraz odpowiedzi Sądów Rejonowych w Golubiu-Dobrzyniu i Wąbrzeźnie, że po Janie i Emie Romanowskich nie przeprowadzono postępowania spadkowego Starosta uznał, iż nieruchomość posiada nieuregulowany stan prawny w rozumieniu art. 113 ust. 6 ustawy o gospodarce nieruchomościami, który stanowi, że przez nieruchomość o nieuregulowanym stanie prawnym rozumie się nieruchomość, dla której ze względu na brak księgi wieczystej, zbioru dokumentów albo innych dokumentów nie można ustalić osób, którym przysługują do niej prawa rzeczowe.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kolei art. 113 ust. 7 ustawy o gospodarce nieruchomościami wskazuje, że przepis ust. 6 stosuje się również, jeżeli właściciel lub użytkownik wieczysty nieruchomości nie żyje i nie przeprowadzono lub nie zostało zakończone postępowanie spadkowe.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 postępowania w sprawie ograniczenia sposobu korzystania z nieruchomości stosuje się art. 114 ust. 3 i 4, art. 115 ust 3 i 4 oraz art. 118a ust. 2 i 3 ustawy o gospodarce nieruchomościami.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myśl art. 114 ust. 3 i 4 ustawy o gospodarce nieruchomościami w przypadku nieruchomości o nieuregulowanym stanie prawnym informację o zamiarze wywłaszczenia starosta, wykonujący zadanie z zakresu administracji rządowej, podaje do publicznej wiadomości w sposób zwyczajowo przyjęty w danej miejscowości oraz na stronach internetowych starostwa, a także przez ogłoszenia w prasie o zasięgu ogólnopolskim. Jeżeli w terminie dwóch miesięcy od dnia ogłoszenia, o którym mowa, nie zgłoszą się osoby, które wykażą, że przysługują im prawa rzeczowe do nieruchomości, można wszcząć postępowanie wywłaszczeniowe.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Wobec powyższego Starosta Golubsko - Dobrzyński ogłoszeniem znak GN.6852.5.2020.Ac zawiadomił o zamiarze wszczęcia postępowania w sprawie udostępnienia nieruchomości, położonej w obrębie Kujawa, gm. Golub-Dobrzyń, oznaczonej nr geod. 266 i 268 w celu przeprowadzenia prac polegających na demontażu przewodów i słupów linii SN-15 kV, w związku z realizacją inwestycji skablowania linii elektroenergetycznej SN-15 kV relacji GPZ Golub-Dobrzyń - Lipnica - Poprzeczka Młyn Handlowy - Płonne. Ogłoszenie zostało podane do publicznej wiadomości poprzez publikację w dniu 14 kwietnia 2021 r. na stronie BIP i stronie internetowej Starostwa Powiatowego w Golubiu- Dobrzyniu oraz wywieszone na tablicy ogłoszeń Starostwa Powiatowego w Golubiu-Dobrzyniu od dnia 14 kwietnia 2021 r. Ogłoszenie zostało opublikowane w prasie o zasięgu ogólnopolskim.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uwagi na fakt, iż w wyznaczonym dwumiesięcznym terminie nie zgłosiły się osoby, którym przysługują prawa rzeczowe do przedmiotowej nieruchomości, zgodnie z art. 114 ust. 4 ustawy o gospodarce nieruchomościami, postępowanie zostało wszczęte na podstawie art. 115 ust. 3 ustawy.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zawiadomieniu poinformowano o możliwości zapoznania się ze zgromadzonym materiałem w sprawie, wypowiedzenia się, co do zebranych dowodów i materiałów oraz zgłoszonych żądań. Zawiadomienie umieszczono na tablicy ogłoszeń Starostwa Powiatowego w Golubiu - Dobrzyniu od dnia 16 czerwca 2021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podstawie art. 124b ust. 2a i 3 ustawy o gospodarce nieruchomościami, przedmiotowej decyzji nadaje się rygor natychmiastowej wykonalności. Obowiązek udostępnienia nieruchomości może być ustanowiony na czas nie dłuższy niż sześć miesięcy.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Wobec przedstawionego powyżej stanu prawnego nieruchomości objętej wnioskiem, przedłożonych przez wnioskodawcę dokumentów oraz materiałów zgromadzonych w sprawie, należało orzec jak w sentencji niniejszej decyzji.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Decyzja podlega ogłoszeniu w sposób określony w art. 49 ustawy z dnia 14 czerwca 1960 r. Kodeks postępowania administracyjnego. Doręczenie niniejszej decyzji zostaje uznane za dokonane z upływem czternastu dni od jej publicznego ogłoszenia.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Pouczenie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Od decyzji niniejszej przysługuje stronie odwołanie do Wojewody Kujawsko - Pomorskiego za pośrednictwem Starosty Golubsko - Dobrzyńskiego w terminie 14 dni, licząc od dnia jej doręczenia.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odwołaniu od decyzji strona może zgłosić wniosek o przeprowadzenie przez organ II instancji postępowania wyjaśniającego w zakresie niezbędnym dla rozstrzygnięcia sprawy oraz rozstrzygnięcie sprawy przez ten organ.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Strona może zrzec się prawa do wniesienia odwołania. W takim przypadku decyzja staje się ostateczna i prawomocna z dniem doręczenia organowi oświadczenia o zrzeczeniu się odwołania, a jeżeli w postępowaniu występuje więcej stron, z dniem doręczenia organowi oświadczenia o zrzeczeniu się odwołania przez ostatnią z tych stron.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Strona, która zrzekła się prawa do wniesienia odwołania traci również prawo do zaskarżenia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both"/>
      </w:pPr>
      <w:r>
        <w:drawing>
          <wp:anchor distT="396240" distB="0" distL="0" distR="2215515" simplePos="0" relativeHeight="125829380" behindDoc="0" locked="0" layoutInCell="1" allowOverlap="1">
            <wp:simplePos x="0" y="0"/>
            <wp:positionH relativeFrom="page">
              <wp:posOffset>2917825</wp:posOffset>
            </wp:positionH>
            <wp:positionV relativeFrom="paragraph">
              <wp:posOffset>497840</wp:posOffset>
            </wp:positionV>
            <wp:extent cx="1560830" cy="1329055"/>
            <wp:wrapSquare wrapText="left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560830" cy="132905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429895" distL="1978025" distR="0" simplePos="0" relativeHeight="125829381" behindDoc="0" locked="0" layoutInCell="1" allowOverlap="1">
            <wp:simplePos x="0" y="0"/>
            <wp:positionH relativeFrom="page">
              <wp:posOffset>4895850</wp:posOffset>
            </wp:positionH>
            <wp:positionV relativeFrom="paragraph">
              <wp:posOffset>101600</wp:posOffset>
            </wp:positionV>
            <wp:extent cx="1798320" cy="1298575"/>
            <wp:wrapSquare wrapText="left"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798320" cy="129857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decyzji do sądu administracyjnego.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70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884555</wp:posOffset>
                </wp:positionH>
                <wp:positionV relativeFrom="paragraph">
                  <wp:posOffset>1257300</wp:posOffset>
                </wp:positionV>
                <wp:extent cx="548640" cy="14922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4864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Otrzymują: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69.650000000000006pt;margin-top:99.pt;width:43.200000000000003pt;height:11.75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Otrzymują: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Integralną część decyzji stanowią 2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26" w:val="left"/>
        </w:tabs>
        <w:bidi w:val="0"/>
        <w:spacing w:before="0" w:after="0" w:line="240" w:lineRule="auto"/>
        <w:ind w:left="0" w:right="0" w:firstLine="380"/>
        <w:jc w:val="both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Paweł Łuczak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ENERGAINVEST sp. z o.o.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ul. Arkońska 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80-387 Gdańsk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rPr>
          <w:sz w:val="18"/>
          <w:szCs w:val="18"/>
        </w:rPr>
      </w:pPr>
      <w:r>
        <w:rPr>
          <w:i/>
          <w:i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jako pełnomocnik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rPr>
          <w:sz w:val="18"/>
          <w:szCs w:val="18"/>
        </w:rPr>
      </w:pPr>
      <w:r>
        <w:rPr>
          <w:i/>
          <w:i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ENERGA - OPERATOR S.A.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rPr>
          <w:sz w:val="18"/>
          <w:szCs w:val="18"/>
        </w:rPr>
      </w:pPr>
      <w:r>
        <w:rPr>
          <w:i/>
          <w:i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ul. Marynarki Polskiej 130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8"/>
          <w:szCs w:val="18"/>
        </w:rPr>
      </w:pPr>
      <w:r>
        <w:drawing>
          <wp:anchor distT="0" distB="0" distL="50800" distR="50800" simplePos="0" relativeHeight="125829384" behindDoc="0" locked="0" layoutInCell="1" allowOverlap="1">
            <wp:simplePos x="0" y="0"/>
            <wp:positionH relativeFrom="page">
              <wp:posOffset>1015365</wp:posOffset>
            </wp:positionH>
            <wp:positionV relativeFrom="paragraph">
              <wp:posOffset>50800</wp:posOffset>
            </wp:positionV>
            <wp:extent cx="262255" cy="280670"/>
            <wp:wrapSquare wrapText="right"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62255" cy="28067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i/>
          <w:i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80-557 Gdańsk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Publiczne ogłoszenie poprzez umieszczenie decyzji na: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- tablicy ogłoszeń Starostwa Powiatowego w Golubiu-Dobrzyniu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- stronie internetowej powiatu Golubsko - Dobrzyńskiego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-B1P Starostwa Powiatowego w Golubiu-Dobrzyniu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380"/>
        <w:jc w:val="both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3. A/a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20" w:line="233" w:lineRule="auto"/>
        <w:ind w:left="0" w:right="0" w:firstLine="0"/>
        <w:jc w:val="left"/>
        <w:rPr>
          <w:sz w:val="16"/>
          <w:szCs w:val="16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573" w:right="1291" w:bottom="1173" w:left="1374" w:header="145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Sporządziła; A. Chmielewska Opublikował w BIP: M. Nowak</w:t>
      </w:r>
    </w:p>
    <w:p>
      <w:pPr>
        <w:pStyle w:val="Style4"/>
        <w:keepNext w:val="0"/>
        <w:keepLines w:val="0"/>
        <w:framePr w:w="3312" w:h="1205" w:wrap="none" w:hAnchor="page" w:x="729" w:y="337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center"/>
        <w:rPr>
          <w:sz w:val="26"/>
          <w:szCs w:val="26"/>
        </w:rPr>
      </w:pPr>
      <w:r>
        <w:rPr>
          <w:rFonts w:ascii="Arial" w:eastAsia="Arial" w:hAnsi="Arial" w:cs="Arial"/>
          <w:color w:val="ED7186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>STAROSTA</w:t>
        <w:br/>
        <w:t>GOLUBSKO-DOBRZYŃSKI</w:t>
        <w:br/>
        <w:t>ul. Plac Tysiąclecia 25</w:t>
        <w:br/>
        <w:t>87-400 Golub-Dobrzyń</w:t>
      </w:r>
    </w:p>
    <w:p>
      <w:pPr>
        <w:pStyle w:val="Style4"/>
        <w:keepNext w:val="0"/>
        <w:keepLines w:val="0"/>
        <w:framePr w:w="2189" w:h="648" w:wrap="none" w:hAnchor="page" w:x="4622" w:y="539"/>
        <w:widowControl w:val="0"/>
        <w:shd w:val="clear" w:color="auto" w:fill="auto"/>
        <w:tabs>
          <w:tab w:leader="dot" w:pos="2078" w:val="left"/>
        </w:tabs>
        <w:bidi w:val="0"/>
        <w:spacing w:before="0" w:after="60" w:line="240" w:lineRule="auto"/>
        <w:ind w:left="0" w:right="0" w:firstLine="0"/>
        <w:jc w:val="left"/>
      </w:pPr>
      <w:r>
        <w:rPr>
          <w:rFonts w:ascii="Arial" w:eastAsia="Arial" w:hAnsi="Arial" w:cs="Arial"/>
          <w:color w:val="ED7186"/>
          <w:spacing w:val="0"/>
          <w:w w:val="7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Załącznik Nr </w:t>
      </w:r>
      <w:r>
        <w:rPr>
          <w:rFonts w:ascii="Arial" w:eastAsia="Arial" w:hAnsi="Arial" w:cs="Arial"/>
          <w:color w:val="7170A6"/>
          <w:spacing w:val="0"/>
          <w:w w:val="70"/>
          <w:position w:val="0"/>
          <w:sz w:val="22"/>
          <w:szCs w:val="22"/>
          <w:shd w:val="clear" w:color="auto" w:fill="auto"/>
          <w:lang w:val="pl-PL" w:eastAsia="pl-PL" w:bidi="pl-PL"/>
        </w:rPr>
        <w:t>/.</w:t>
      </w:r>
      <w:r>
        <w:rPr>
          <w:rFonts w:ascii="Arial" w:eastAsia="Arial" w:hAnsi="Arial" w:cs="Arial"/>
          <w:color w:val="ED7186"/>
          <w:spacing w:val="0"/>
          <w:w w:val="70"/>
          <w:position w:val="0"/>
          <w:sz w:val="22"/>
          <w:szCs w:val="22"/>
          <w:shd w:val="clear" w:color="auto" w:fill="auto"/>
          <w:lang w:val="pl-PL" w:eastAsia="pl-PL" w:bidi="pl-PL"/>
        </w:rPr>
        <w:tab/>
      </w:r>
    </w:p>
    <w:p>
      <w:pPr>
        <w:pStyle w:val="Style4"/>
        <w:keepNext w:val="0"/>
        <w:keepLines w:val="0"/>
        <w:framePr w:w="2189" w:h="648" w:wrap="none" w:hAnchor="page" w:x="4622" w:y="5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Arial" w:eastAsia="Arial" w:hAnsi="Arial" w:cs="Arial"/>
          <w:color w:val="ED7186"/>
          <w:spacing w:val="0"/>
          <w:w w:val="70"/>
          <w:position w:val="0"/>
          <w:sz w:val="22"/>
          <w:szCs w:val="22"/>
          <w:shd w:val="clear" w:color="auto" w:fill="auto"/>
          <w:lang w:val="pl-PL" w:eastAsia="pl-PL" w:bidi="pl-PL"/>
        </w:rPr>
        <w:t>do decyzji Nr</w:t>
      </w:r>
    </w:p>
    <w:p>
      <w:pPr>
        <w:pStyle w:val="Style2"/>
        <w:keepNext w:val="0"/>
        <w:keepLines w:val="0"/>
        <w:framePr w:w="960" w:h="302" w:wrap="none" w:hAnchor="page" w:x="7224" w:y="14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ED7186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. Starały</w:t>
      </w:r>
    </w:p>
    <w:p>
      <w:pPr>
        <w:pStyle w:val="Style4"/>
        <w:keepNext w:val="0"/>
        <w:keepLines w:val="0"/>
        <w:framePr w:w="322" w:h="163" w:wrap="none" w:hAnchor="page" w:x="6172" w:y="22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Arial" w:eastAsia="Arial" w:hAnsi="Arial" w:cs="Arial"/>
          <w:color w:val="ED7186"/>
          <w:spacing w:val="0"/>
          <w:w w:val="100"/>
          <w:position w:val="0"/>
          <w:sz w:val="10"/>
          <w:szCs w:val="10"/>
          <w:shd w:val="clear" w:color="auto" w:fill="auto"/>
          <w:lang w:val="pl-PL" w:eastAsia="pl-PL" w:bidi="pl-PL"/>
        </w:rPr>
        <w:t>Kart</w:t>
      </w:r>
    </w:p>
    <w:p>
      <w:pPr>
        <w:pStyle w:val="Style4"/>
        <w:keepNext w:val="0"/>
        <w:keepLines w:val="0"/>
        <w:framePr w:w="2232" w:h="446" w:wrap="none" w:hAnchor="page" w:x="6369" w:y="1892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left"/>
        <w:rPr>
          <w:sz w:val="19"/>
          <w:szCs w:val="19"/>
        </w:rPr>
      </w:pPr>
      <w:r>
        <w:rPr>
          <w:i/>
          <w:iCs/>
          <w:color w:val="ED7186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 xml:space="preserve">/Emilia </w:t>
      </w:r>
      <w:r>
        <w:rPr>
          <w:i/>
          <w:iCs/>
          <w:color w:val="7170A6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Pi/</w:t>
      </w:r>
    </w:p>
    <w:p>
      <w:pPr>
        <w:pStyle w:val="Style4"/>
        <w:keepNext w:val="0"/>
        <w:keepLines w:val="0"/>
        <w:framePr w:w="2232" w:h="446" w:wrap="none" w:hAnchor="page" w:x="6369" w:y="18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Arial" w:eastAsia="Arial" w:hAnsi="Arial" w:cs="Arial"/>
          <w:color w:val="ED7186"/>
          <w:spacing w:val="0"/>
          <w:w w:val="100"/>
          <w:position w:val="0"/>
          <w:sz w:val="10"/>
          <w:szCs w:val="10"/>
          <w:shd w:val="clear" w:color="auto" w:fill="auto"/>
          <w:lang w:val="pl-PL" w:eastAsia="pl-PL" w:bidi="pl-PL"/>
        </w:rPr>
        <w:t>Z-</w:t>
      </w:r>
      <w:r>
        <w:rPr>
          <w:rFonts w:ascii="Arial" w:eastAsia="Arial" w:hAnsi="Arial" w:cs="Arial"/>
          <w:color w:val="7170A6"/>
          <w:spacing w:val="0"/>
          <w:w w:val="100"/>
          <w:position w:val="0"/>
          <w:sz w:val="10"/>
          <w:szCs w:val="10"/>
          <w:shd w:val="clear" w:color="auto" w:fill="auto"/>
          <w:lang w:val="pl-PL" w:eastAsia="pl-PL" w:bidi="pl-PL"/>
        </w:rPr>
        <w:t>/a Kierowrika£&gt;*£!Slu G^łezji,</w:t>
      </w:r>
    </w:p>
    <w:p>
      <w:pPr>
        <w:pStyle w:val="Style4"/>
        <w:keepNext w:val="0"/>
        <w:keepLines w:val="0"/>
        <w:framePr w:w="2246" w:h="216" w:wrap="none" w:hAnchor="page" w:x="6561" w:y="22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Arial" w:eastAsia="Arial" w:hAnsi="Arial" w:cs="Arial"/>
          <w:color w:val="ED7186"/>
          <w:spacing w:val="0"/>
          <w:w w:val="100"/>
          <w:position w:val="0"/>
          <w:sz w:val="10"/>
          <w:szCs w:val="10"/>
          <w:shd w:val="clear" w:color="auto" w:fill="auto"/>
          <w:lang w:val="pl-PL" w:eastAsia="pl-PL" w:bidi="pl-PL"/>
        </w:rPr>
        <w:t xml:space="preserve">irafii i Gospodarki </w:t>
      </w:r>
      <w:r>
        <w:rPr>
          <w:rFonts w:ascii="Arial" w:eastAsia="Arial" w:hAnsi="Arial" w:cs="Arial"/>
          <w:color w:val="7170A6"/>
          <w:spacing w:val="0"/>
          <w:w w:val="100"/>
          <w:position w:val="0"/>
          <w:sz w:val="10"/>
          <w:szCs w:val="10"/>
          <w:shd w:val="clear" w:color="auto" w:fill="auto"/>
          <w:lang w:val="pl-PL" w:eastAsia="pl-PL" w:bidi="pl-PL"/>
        </w:rPr>
        <w:t>Njs&gt;rSfiómościami</w:t>
      </w:r>
    </w:p>
    <w:p>
      <w:pPr>
        <w:pStyle w:val="Style4"/>
        <w:keepNext w:val="0"/>
        <w:keepLines w:val="0"/>
        <w:framePr w:w="6000" w:h="581" w:wrap="none" w:hAnchor="page" w:x="10224" w:y="1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  <w:rPr>
          <w:sz w:val="15"/>
          <w:szCs w:val="15"/>
        </w:rPr>
      </w:pPr>
      <w:r>
        <w:rPr>
          <w:rFonts w:ascii="Arial" w:eastAsia="Arial" w:hAnsi="Arial" w:cs="Arial"/>
          <w:color w:val="ED7186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Poświadczam zgodność treści ninijeszej mapy z treścią mapy do celów projektowych opracowanej przez uprawnionego geodetę, uzyskanej i zatwierdzonej przez Państwowy Ośrodek Dokumentacji Geodezyjnej i Kartoficznej - PODGiK w Golubiu-Dobrzyniu</w:t>
      </w:r>
    </w:p>
    <w:p>
      <w:pPr>
        <w:pStyle w:val="Style4"/>
        <w:keepNext w:val="0"/>
        <w:keepLines w:val="0"/>
        <w:framePr w:w="864" w:h="389" w:wrap="none" w:hAnchor="page" w:x="10224" w:y="55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Arial" w:eastAsia="Arial" w:hAnsi="Arial" w:cs="Arial"/>
          <w:color w:val="ED7186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10.11.2020r</w:t>
      </w:r>
    </w:p>
    <w:p>
      <w:pPr>
        <w:pStyle w:val="Style4"/>
        <w:keepNext w:val="0"/>
        <w:keepLines w:val="0"/>
        <w:framePr w:w="864" w:h="389" w:wrap="none" w:hAnchor="page" w:x="10224" w:y="55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Arial" w:eastAsia="Arial" w:hAnsi="Arial" w:cs="Arial"/>
          <w:color w:val="ED7186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Projektant:</w:t>
      </w:r>
    </w:p>
    <w:p>
      <w:pPr>
        <w:pStyle w:val="Style4"/>
        <w:keepNext w:val="0"/>
        <w:keepLines w:val="0"/>
        <w:framePr w:w="677" w:h="206" w:wrap="none" w:hAnchor="page" w:x="10238" w:y="18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Arial" w:eastAsia="Arial" w:hAnsi="Arial" w:cs="Arial"/>
          <w:color w:val="ED7186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Legenda:</w:t>
      </w:r>
    </w:p>
    <w:p>
      <w:pPr>
        <w:pStyle w:val="Style4"/>
        <w:keepNext w:val="0"/>
        <w:keepLines w:val="0"/>
        <w:framePr w:w="3202" w:h="1186" w:wrap="none" w:hAnchor="page" w:x="11476" w:y="803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center"/>
        <w:rPr>
          <w:sz w:val="18"/>
          <w:szCs w:val="18"/>
        </w:rPr>
      </w:pPr>
      <w:r>
        <w:rPr>
          <w:rFonts w:ascii="Arial" w:eastAsia="Arial" w:hAnsi="Arial" w:cs="Arial"/>
          <w:b/>
          <w:bCs/>
          <w:color w:val="7170A6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mgr inż. Karo|5zjw-elrći</w:t>
      </w:r>
    </w:p>
    <w:p>
      <w:pPr>
        <w:pStyle w:val="Style4"/>
        <w:keepNext w:val="0"/>
        <w:keepLines w:val="0"/>
        <w:framePr w:w="3202" w:h="1186" w:wrap="none" w:hAnchor="page" w:x="11476" w:y="8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6"/>
          <w:szCs w:val="16"/>
        </w:rPr>
      </w:pPr>
      <w:r>
        <w:rPr>
          <w:rFonts w:ascii="Arial" w:eastAsia="Arial" w:hAnsi="Arial" w:cs="Arial"/>
          <w:color w:val="7170A6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Uprawnienia budowlaneiró^pfoiektowama</w:t>
        <w:br/>
        <w:t>bez ograniczeń w ^ścja&amp;rMrftnstalacyjnej</w:t>
        <w:br/>
        <w:t>w zakresie sied&gt;h4wtSsj.i i urządzeń</w:t>
        <w:br/>
        <w:t>elektrycznyjirelektroenergetycznych</w:t>
        <w:br/>
        <w:t>n&gt;«wd.: KUP/O128/PBE/19</w:t>
      </w:r>
    </w:p>
    <w:p>
      <w:pPr>
        <w:pStyle w:val="Style4"/>
        <w:keepNext w:val="0"/>
        <w:keepLines w:val="0"/>
        <w:framePr w:w="4296" w:h="398" w:wrap="none" w:hAnchor="page" w:x="11107" w:y="2195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  <w:rPr>
          <w:sz w:val="15"/>
          <w:szCs w:val="15"/>
        </w:rPr>
      </w:pPr>
      <w:r>
        <w:rPr>
          <w:rFonts w:ascii="Arial" w:eastAsia="Arial" w:hAnsi="Arial" w:cs="Arial"/>
          <w:color w:val="ED7186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- powierzchnia zajęcia pasa w celu przebudowy sieci SN 15kV (Łączna powierzchnia zajęcia: 573,5 m</w:t>
      </w:r>
      <w:r>
        <w:rPr>
          <w:rFonts w:ascii="Arial" w:eastAsia="Arial" w:hAnsi="Arial" w:cs="Arial"/>
          <w:color w:val="ED7186"/>
          <w:spacing w:val="0"/>
          <w:w w:val="100"/>
          <w:position w:val="0"/>
          <w:sz w:val="15"/>
          <w:szCs w:val="15"/>
          <w:shd w:val="clear" w:color="auto" w:fill="auto"/>
          <w:vertAlign w:val="superscript"/>
          <w:lang w:val="pl-PL" w:eastAsia="pl-PL" w:bidi="pl-PL"/>
        </w:rPr>
        <w:t>2</w:t>
      </w:r>
      <w:r>
        <w:rPr>
          <w:rFonts w:ascii="Arial" w:eastAsia="Arial" w:hAnsi="Arial" w:cs="Arial"/>
          <w:color w:val="ED7186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)</w:t>
      </w:r>
    </w:p>
    <w:p>
      <w:pPr>
        <w:pStyle w:val="Style4"/>
        <w:keepNext w:val="0"/>
        <w:keepLines w:val="0"/>
        <w:framePr w:w="3216" w:h="1147" w:wrap="none" w:hAnchor="page" w:x="2155" w:y="2843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  <w:rPr>
          <w:sz w:val="10"/>
          <w:szCs w:val="10"/>
        </w:rPr>
      </w:pPr>
      <w:r>
        <w:rPr>
          <w:rFonts w:ascii="Arial" w:eastAsia="Arial" w:hAnsi="Arial" w:cs="Arial"/>
          <w:color w:val="ED7186"/>
          <w:spacing w:val="0"/>
          <w:w w:val="100"/>
          <w:position w:val="0"/>
          <w:sz w:val="30"/>
          <w:szCs w:val="30"/>
          <w:shd w:val="clear" w:color="auto" w:fill="auto"/>
          <w:lang w:val="pl-PL" w:eastAsia="pl-PL" w:bidi="pl-PL"/>
        </w:rPr>
        <w:t>istn. słup P-12/ŻN nr 64</w:t>
        <w:br/>
        <w:t>do demontażu</w:t>
        <w:br/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pl-PL" w:eastAsia="pl-PL" w:bidi="pl-PL"/>
        </w:rPr>
        <w:t>%</w:t>
      </w:r>
    </w:p>
    <w:p>
      <w:pPr>
        <w:pStyle w:val="Style4"/>
        <w:keepNext w:val="0"/>
        <w:keepLines w:val="0"/>
        <w:framePr w:w="3216" w:h="1147" w:wrap="none" w:hAnchor="page" w:x="2155" w:y="2843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center"/>
        <w:rPr>
          <w:sz w:val="28"/>
          <w:szCs w:val="28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pl-PL" w:eastAsia="pl-PL" w:bidi="pl-PL"/>
        </w:rPr>
        <w:t>\ \ \</w:t>
      </w:r>
    </w:p>
    <w:p>
      <w:pPr>
        <w:pStyle w:val="Style4"/>
        <w:keepNext w:val="0"/>
        <w:keepLines w:val="0"/>
        <w:framePr w:w="3264" w:h="830" w:wrap="none" w:hAnchor="page" w:x="11812" w:y="302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right"/>
        <w:rPr>
          <w:sz w:val="30"/>
          <w:szCs w:val="30"/>
        </w:rPr>
      </w:pPr>
      <w:r>
        <w:rPr>
          <w:rFonts w:ascii="Arial" w:eastAsia="Arial" w:hAnsi="Arial" w:cs="Arial"/>
          <w:color w:val="ED7186"/>
          <w:spacing w:val="0"/>
          <w:w w:val="100"/>
          <w:position w:val="0"/>
          <w:sz w:val="30"/>
          <w:szCs w:val="30"/>
          <w:shd w:val="clear" w:color="auto" w:fill="auto"/>
          <w:lang w:val="pl-PL" w:eastAsia="pl-PL" w:bidi="pl-PL"/>
        </w:rPr>
        <w:t>istn. słup P-10/ŻN nr 65 do demontażu</w:t>
      </w:r>
    </w:p>
    <w:p>
      <w:pPr>
        <w:pStyle w:val="Style2"/>
        <w:keepNext w:val="0"/>
        <w:keepLines w:val="0"/>
        <w:framePr w:w="427" w:h="274" w:wrap="none" w:hAnchor="page" w:x="15883" w:y="43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265</w:t>
      </w:r>
    </w:p>
    <w:p>
      <w:pPr>
        <w:pStyle w:val="Style4"/>
        <w:keepNext w:val="0"/>
        <w:keepLines w:val="0"/>
        <w:framePr w:w="1070" w:h="274" w:wrap="none" w:hAnchor="page" w:x="3667" w:y="48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i/>
          <w:i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...y68.7 \</w:t>
      </w:r>
      <w:r>
        <w:rPr>
          <w:i/>
          <w:iCs/>
          <w:color w:val="000000"/>
          <w:spacing w:val="0"/>
          <w:w w:val="100"/>
          <w:position w:val="0"/>
          <w:sz w:val="15"/>
          <w:szCs w:val="15"/>
          <w:shd w:val="clear" w:color="auto" w:fill="auto"/>
          <w:vertAlign w:val="subscript"/>
          <w:lang w:val="pl-PL" w:eastAsia="pl-PL" w:bidi="pl-PL"/>
        </w:rPr>
        <w:t>68B</w:t>
      </w:r>
    </w:p>
    <w:p>
      <w:pPr>
        <w:pStyle w:val="Style4"/>
        <w:keepNext w:val="0"/>
        <w:keepLines w:val="0"/>
        <w:framePr w:w="341" w:h="197" w:wrap="none" w:hAnchor="page" w:x="4449" w:y="59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i/>
          <w:i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68.6</w:t>
      </w:r>
    </w:p>
    <w:p>
      <w:pPr>
        <w:pStyle w:val="Style4"/>
        <w:keepNext w:val="0"/>
        <w:keepLines w:val="0"/>
        <w:framePr w:w="418" w:h="226" w:wrap="none" w:hAnchor="page" w:x="12849" w:y="59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8"/>
          <w:szCs w:val="18"/>
        </w:rPr>
      </w:pPr>
      <w:r>
        <w:rPr>
          <w:i/>
          <w:i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68..?.</w:t>
      </w:r>
    </w:p>
    <w:p>
      <w:pPr>
        <w:pStyle w:val="Style2"/>
        <w:keepNext w:val="0"/>
        <w:keepLines w:val="0"/>
        <w:framePr w:w="418" w:h="274" w:wrap="none" w:hAnchor="page" w:x="9580" w:y="67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266</w:t>
      </w:r>
    </w:p>
    <w:p>
      <w:pPr>
        <w:pStyle w:val="Style4"/>
        <w:keepNext w:val="0"/>
        <w:keepLines w:val="0"/>
        <w:framePr w:w="4474" w:h="725" w:wrap="none" w:hAnchor="page" w:x="441" w:y="77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0"/>
          <w:szCs w:val="30"/>
        </w:rPr>
      </w:pPr>
      <w:r>
        <w:rPr>
          <w:rFonts w:ascii="Arial" w:eastAsia="Arial" w:hAnsi="Arial" w:cs="Arial"/>
          <w:color w:val="ED7186"/>
          <w:spacing w:val="0"/>
          <w:w w:val="100"/>
          <w:position w:val="0"/>
          <w:sz w:val="30"/>
          <w:szCs w:val="30"/>
          <w:shd w:val="clear" w:color="auto" w:fill="auto"/>
          <w:lang w:val="pl-PL" w:eastAsia="pl-PL" w:bidi="pl-PL"/>
        </w:rPr>
        <w:t>tn. linia napowietrzna SN -15 kV o demontażu</w:t>
      </w:r>
    </w:p>
    <w:p>
      <w:pPr>
        <w:pStyle w:val="Style4"/>
        <w:keepNext w:val="0"/>
        <w:keepLines w:val="0"/>
        <w:framePr w:w="1805" w:h="216" w:wrap="none" w:hAnchor="page" w:x="8606" w:y="88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9"/>
          <w:szCs w:val="9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9"/>
          <w:szCs w:val="9"/>
          <w:shd w:val="clear" w:color="auto" w:fill="auto"/>
          <w:lang w:val="pl-PL" w:eastAsia="pl-PL" w:bidi="pl-PL"/>
        </w:rPr>
        <w:t>Opracował: inż. Maciej Kaczmarek</w:t>
      </w:r>
    </w:p>
    <w:p>
      <w:pPr>
        <w:pStyle w:val="Style4"/>
        <w:keepNext w:val="0"/>
        <w:keepLines w:val="0"/>
        <w:framePr w:w="1829" w:h="216" w:wrap="none" w:hAnchor="page" w:x="8606" w:y="90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9"/>
          <w:szCs w:val="9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9"/>
          <w:szCs w:val="9"/>
          <w:shd w:val="clear" w:color="auto" w:fill="auto"/>
          <w:lang w:val="pl-PL" w:eastAsia="pl-PL" w:bidi="pl-PL"/>
        </w:rPr>
        <w:t>Projektował: mgr inż. Karol Szweda</w:t>
      </w:r>
    </w:p>
    <w:p>
      <w:pPr>
        <w:pStyle w:val="Style4"/>
        <w:keepNext w:val="0"/>
        <w:keepLines w:val="0"/>
        <w:framePr w:w="571" w:h="187" w:wrap="none" w:hAnchor="page" w:x="8611" w:y="92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pl-PL" w:eastAsia="pl-PL" w:bidi="pl-PL"/>
        </w:rPr>
        <w:t>Sprawdził:</w:t>
      </w:r>
    </w:p>
    <w:p>
      <w:pPr>
        <w:pStyle w:val="Style4"/>
        <w:keepNext w:val="0"/>
        <w:keepLines w:val="0"/>
        <w:framePr w:w="1858" w:h="278" w:wrap="none" w:hAnchor="page" w:x="11059" w:y="90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8"/>
          <w:szCs w:val="8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8"/>
          <w:szCs w:val="8"/>
          <w:shd w:val="clear" w:color="auto" w:fill="auto"/>
          <w:lang w:val="pl-PL" w:eastAsia="pl-PL" w:bidi="pl-PL"/>
        </w:rPr>
        <w:t>nstokryho w zakresie ued. instalacji &gt; urządzefi</w:t>
      </w:r>
    </w:p>
    <w:p>
      <w:pPr>
        <w:pStyle w:val="Style4"/>
        <w:keepNext w:val="0"/>
        <w:keepLines w:val="0"/>
        <w:framePr w:w="1858" w:h="278" w:wrap="none" w:hAnchor="page" w:x="11059" w:y="9035"/>
        <w:widowControl w:val="0"/>
        <w:shd w:val="clear" w:color="auto" w:fill="auto"/>
        <w:tabs>
          <w:tab w:leader="underscore" w:pos="1810" w:val="left"/>
        </w:tabs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8"/>
          <w:szCs w:val="8"/>
          <w:u w:val="single"/>
          <w:shd w:val="clear" w:color="auto" w:fill="auto"/>
          <w:lang w:val="pl-PL" w:eastAsia="pl-PL" w:bidi="pl-PL"/>
        </w:rPr>
        <w:t>iWryanydi i eleHm—fyt</w:t>
      </w:r>
      <w:r>
        <w:rPr>
          <w:rFonts w:ascii="Arial" w:eastAsia="Arial" w:hAnsi="Arial" w:cs="Arial"/>
          <w:strike/>
          <w:color w:val="000000"/>
          <w:spacing w:val="0"/>
          <w:w w:val="100"/>
          <w:position w:val="0"/>
          <w:sz w:val="12"/>
          <w:szCs w:val="12"/>
          <w:u w:val="single"/>
          <w:shd w:val="clear" w:color="auto" w:fill="auto"/>
          <w:lang w:val="pl-PL" w:eastAsia="pl-PL" w:bidi="pl-PL"/>
        </w:rPr>
        <w:t>ymyh</w:t>
      </w:r>
      <w:r>
        <w:rPr>
          <w:rFonts w:ascii="Arial" w:eastAsia="Arial" w:hAnsi="Arial" w:cs="Arial"/>
          <w:strike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pl-PL" w:eastAsia="pl-PL" w:bidi="pl-PL"/>
        </w:rPr>
        <w:tab/>
      </w:r>
    </w:p>
    <w:p>
      <w:pPr>
        <w:pStyle w:val="Style4"/>
        <w:keepNext w:val="0"/>
        <w:keepLines w:val="0"/>
        <w:framePr w:w="869" w:h="202" w:wrap="none" w:hAnchor="page" w:x="9345" w:y="95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pl-PL" w:eastAsia="pl-PL" w:bidi="pl-PL"/>
        </w:rPr>
        <w:t>Imię i nazwisko</w:t>
      </w:r>
    </w:p>
    <w:p>
      <w:pPr>
        <w:pStyle w:val="Style4"/>
        <w:keepNext w:val="0"/>
        <w:keepLines w:val="0"/>
        <w:framePr w:w="658" w:h="202" w:wrap="none" w:hAnchor="page" w:x="11088" w:y="95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pl-PL" w:eastAsia="pl-PL" w:bidi="pl-PL"/>
        </w:rPr>
        <w:t>Specjalność</w:t>
      </w:r>
    </w:p>
    <w:p>
      <w:pPr>
        <w:pStyle w:val="Style4"/>
        <w:keepNext w:val="0"/>
        <w:keepLines w:val="0"/>
        <w:framePr w:w="3461" w:h="504" w:wrap="none" w:hAnchor="page" w:x="8620" w:y="96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pl-PL" w:eastAsia="pl-PL" w:bidi="pl-PL"/>
        </w:rPr>
        <w:t>Tytuł rysunku:</w:t>
      </w:r>
    </w:p>
    <w:p>
      <w:pPr>
        <w:pStyle w:val="Style4"/>
        <w:keepNext w:val="0"/>
        <w:keepLines w:val="0"/>
        <w:framePr w:w="3461" w:h="504" w:wrap="none" w:hAnchor="page" w:x="8620" w:y="9697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  <w:rPr>
          <w:sz w:val="26"/>
          <w:szCs w:val="26"/>
        </w:rPr>
      </w:pPr>
      <w:r>
        <w:rPr>
          <w:rFonts w:ascii="Arial" w:eastAsia="Arial" w:hAnsi="Arial" w:cs="Arial"/>
          <w:color w:val="000000"/>
          <w:spacing w:val="0"/>
          <w:w w:val="60"/>
          <w:position w:val="0"/>
          <w:sz w:val="26"/>
          <w:szCs w:val="26"/>
          <w:shd w:val="clear" w:color="auto" w:fill="auto"/>
          <w:lang w:val="pl-PL" w:eastAsia="pl-PL" w:bidi="pl-PL"/>
        </w:rPr>
        <w:t>PROJEKT ZAGOSPODAROWANIA TERENU</w:t>
      </w:r>
    </w:p>
    <w:p>
      <w:pPr>
        <w:pStyle w:val="Style4"/>
        <w:keepNext w:val="0"/>
        <w:keepLines w:val="0"/>
        <w:framePr w:w="2285" w:h="442" w:wrap="none" w:hAnchor="page" w:x="8692" w:y="10614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right"/>
        <w:rPr>
          <w:sz w:val="9"/>
          <w:szCs w:val="9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9"/>
          <w:szCs w:val="9"/>
          <w:shd w:val="clear" w:color="auto" w:fill="auto"/>
          <w:lang w:val="pl-PL" w:eastAsia="pl-PL" w:bidi="pl-PL"/>
        </w:rPr>
        <w:t>. ENERGA Inwst Sp. z o.a</w:t>
      </w:r>
    </w:p>
    <w:p>
      <w:pPr>
        <w:pStyle w:val="Style4"/>
        <w:keepNext w:val="0"/>
        <w:keepLines w:val="0"/>
        <w:framePr w:w="2285" w:h="442" w:wrap="none" w:hAnchor="page" w:x="8692" w:y="10614"/>
        <w:widowControl w:val="0"/>
        <w:shd w:val="clear" w:color="auto" w:fill="auto"/>
        <w:bidi w:val="0"/>
        <w:spacing w:before="0" w:after="0" w:line="300" w:lineRule="auto"/>
        <w:ind w:left="1300" w:right="0" w:hanging="1300"/>
        <w:jc w:val="left"/>
        <w:rPr>
          <w:sz w:val="9"/>
          <w:szCs w:val="9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9"/>
          <w:szCs w:val="9"/>
          <w:shd w:val="clear" w:color="auto" w:fill="auto"/>
          <w:lang w:val="pl-PL" w:eastAsia="pl-PL" w:bidi="pl-PL"/>
        </w:rPr>
        <w:t xml:space="preserve">ty </w:t>
      </w:r>
      <w:r>
        <w:rPr>
          <w:rFonts w:ascii="Arial" w:eastAsia="Arial" w:hAnsi="Arial" w:cs="Arial"/>
          <w:b/>
          <w:bCs/>
          <w:i/>
          <w:i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Energa</w:t>
      </w: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9"/>
          <w:szCs w:val="9"/>
          <w:shd w:val="clear" w:color="auto" w:fill="auto"/>
          <w:lang w:val="pl-PL" w:eastAsia="pl-PL" w:bidi="pl-PL"/>
        </w:rPr>
        <w:t xml:space="preserve"> ul.Grunwokfcka 472 80-309 Gdańsk</w:t>
      </w:r>
    </w:p>
    <w:p>
      <w:pPr>
        <w:pStyle w:val="Style4"/>
        <w:keepNext w:val="0"/>
        <w:keepLines w:val="0"/>
        <w:framePr w:w="1258" w:h="758" w:wrap="none" w:hAnchor="page" w:x="15129" w:y="7892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  <w:rPr>
          <w:sz w:val="30"/>
          <w:szCs w:val="30"/>
        </w:rPr>
      </w:pPr>
      <w:r>
        <w:rPr>
          <w:rFonts w:ascii="Arial" w:eastAsia="Arial" w:hAnsi="Arial" w:cs="Arial"/>
          <w:color w:val="ED7186"/>
          <w:spacing w:val="0"/>
          <w:w w:val="100"/>
          <w:position w:val="0"/>
          <w:sz w:val="30"/>
          <w:szCs w:val="30"/>
          <w:shd w:val="clear" w:color="auto" w:fill="auto"/>
          <w:lang w:val="pl-PL" w:eastAsia="pl-PL" w:bidi="pl-PL"/>
        </w:rPr>
        <w:t>istn. linia</w:t>
        <w:br/>
        <w:t>do demo</w:t>
      </w:r>
    </w:p>
    <w:p>
      <w:pPr>
        <w:pStyle w:val="Style36"/>
        <w:keepNext w:val="0"/>
        <w:keepLines w:val="0"/>
        <w:framePr w:w="317" w:h="173" w:wrap="none" w:hAnchor="page" w:x="14798" w:y="88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Data:</w:t>
      </w:r>
    </w:p>
    <w:p>
      <w:pPr>
        <w:pStyle w:val="Style36"/>
        <w:keepNext w:val="0"/>
        <w:keepLines w:val="0"/>
        <w:framePr w:w="725" w:h="211" w:wrap="none" w:hAnchor="page" w:x="14802" w:y="92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Opracowanie:</w:t>
      </w:r>
    </w:p>
    <w:p>
      <w:pPr>
        <w:pStyle w:val="Style36"/>
        <w:keepNext w:val="0"/>
        <w:keepLines w:val="0"/>
        <w:framePr w:w="734" w:h="202" w:wrap="none" w:hAnchor="page" w:x="12998" w:y="95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Nr uprawnień</w:t>
      </w:r>
    </w:p>
    <w:p>
      <w:pPr>
        <w:pStyle w:val="Style36"/>
        <w:keepNext w:val="0"/>
        <w:keepLines w:val="0"/>
        <w:framePr w:w="389" w:h="202" w:wrap="none" w:hAnchor="page" w:x="13866" w:y="95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Podpis</w:t>
      </w:r>
    </w:p>
    <w:p>
      <w:pPr>
        <w:pStyle w:val="Style4"/>
        <w:keepNext w:val="0"/>
        <w:keepLines w:val="0"/>
        <w:framePr w:w="811" w:h="221" w:wrap="none" w:hAnchor="page" w:x="15168" w:y="90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Arial" w:eastAsia="Arial" w:hAnsi="Arial" w:cs="Arial"/>
          <w:color w:val="000000"/>
          <w:spacing w:val="0"/>
          <w:w w:val="70"/>
          <w:position w:val="0"/>
          <w:sz w:val="20"/>
          <w:szCs w:val="20"/>
          <w:shd w:val="clear" w:color="auto" w:fill="auto"/>
          <w:lang w:val="pl-PL" w:eastAsia="pl-PL" w:bidi="pl-PL"/>
        </w:rPr>
        <w:t>10.11.2020</w:t>
      </w:r>
    </w:p>
    <w:p>
      <w:pPr>
        <w:pStyle w:val="Style4"/>
        <w:keepNext w:val="0"/>
        <w:keepLines w:val="0"/>
        <w:framePr w:w="662" w:h="221" w:wrap="none" w:hAnchor="page" w:x="15244" w:y="94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Arial" w:eastAsia="Arial" w:hAnsi="Arial" w:cs="Arial"/>
          <w:color w:val="000000"/>
          <w:spacing w:val="0"/>
          <w:w w:val="70"/>
          <w:position w:val="0"/>
          <w:sz w:val="20"/>
          <w:szCs w:val="20"/>
          <w:shd w:val="clear" w:color="auto" w:fill="auto"/>
          <w:lang w:val="pl-PL" w:eastAsia="pl-PL" w:bidi="pl-PL"/>
        </w:rPr>
        <w:t>Art. 124</w:t>
      </w:r>
    </w:p>
    <w:p>
      <w:pPr>
        <w:pStyle w:val="Style4"/>
        <w:keepNext w:val="0"/>
        <w:keepLines w:val="0"/>
        <w:framePr w:w="1037" w:h="643" w:wrap="none" w:hAnchor="page" w:x="14808" w:y="97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pl-PL" w:eastAsia="pl-PL" w:bidi="pl-PL"/>
        </w:rPr>
        <w:t>Skala:</w:t>
      </w:r>
    </w:p>
    <w:p>
      <w:pPr>
        <w:pStyle w:val="Style4"/>
        <w:keepNext w:val="0"/>
        <w:keepLines w:val="0"/>
        <w:framePr w:w="1037" w:h="643" w:wrap="none" w:hAnchor="page" w:x="14808" w:y="9707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000000"/>
          <w:spacing w:val="0"/>
          <w:w w:val="70"/>
          <w:position w:val="0"/>
          <w:sz w:val="20"/>
          <w:szCs w:val="20"/>
          <w:shd w:val="clear" w:color="auto" w:fill="auto"/>
          <w:lang w:val="pl-PL" w:eastAsia="pl-PL" w:bidi="pl-PL"/>
        </w:rPr>
        <w:t>1:500_</w:t>
      </w:r>
    </w:p>
    <w:p>
      <w:pPr>
        <w:pStyle w:val="Style4"/>
        <w:keepNext w:val="0"/>
        <w:keepLines w:val="0"/>
        <w:framePr w:w="1037" w:h="643" w:wrap="none" w:hAnchor="page" w:x="14808" w:y="97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pl-PL" w:eastAsia="pl-PL" w:bidi="pl-PL"/>
        </w:rPr>
        <w:t>Rewizja nr: -</w:t>
      </w:r>
    </w:p>
    <w:p>
      <w:pPr>
        <w:pStyle w:val="Style4"/>
        <w:keepNext w:val="0"/>
        <w:keepLines w:val="0"/>
        <w:framePr w:w="3566" w:h="317" w:wrap="none" w:hAnchor="page" w:x="10972" w:y="103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9"/>
          <w:szCs w:val="9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9"/>
          <w:szCs w:val="9"/>
          <w:shd w:val="clear" w:color="auto" w:fill="auto"/>
          <w:lang w:val="pl-PL" w:eastAsia="pl-PL" w:bidi="pl-PL"/>
        </w:rPr>
        <w:t>Nozwo i adres obiektu:</w:t>
      </w:r>
    </w:p>
    <w:p>
      <w:pPr>
        <w:pStyle w:val="Style4"/>
        <w:keepNext w:val="0"/>
        <w:keepLines w:val="0"/>
        <w:framePr w:w="3566" w:h="317" w:wrap="none" w:hAnchor="page" w:x="10972" w:y="103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9"/>
          <w:szCs w:val="9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9"/>
          <w:szCs w:val="9"/>
          <w:shd w:val="clear" w:color="auto" w:fill="auto"/>
          <w:lang w:val="pl-PL" w:eastAsia="pl-PL" w:bidi="pl-PL"/>
        </w:rPr>
        <w:t>Przebudowo linii napowietrznej SN na linię kablowę SN relacj GPZ GOLUB</w:t>
      </w:r>
    </w:p>
    <w:p>
      <w:pPr>
        <w:pStyle w:val="Style4"/>
        <w:keepNext w:val="0"/>
        <w:keepLines w:val="0"/>
        <w:framePr w:w="1018" w:h="187" w:wrap="none" w:hAnchor="page" w:x="10977" w:y="107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9"/>
          <w:szCs w:val="9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9"/>
          <w:szCs w:val="9"/>
          <w:shd w:val="clear" w:color="auto" w:fill="auto"/>
          <w:lang w:val="pl-PL" w:eastAsia="pl-PL" w:bidi="pl-PL"/>
        </w:rPr>
        <w:t>DOBRZYŃ - LIPNICA</w:t>
      </w:r>
    </w:p>
    <w:p>
      <w:pPr>
        <w:pStyle w:val="Style4"/>
        <w:keepNext w:val="0"/>
        <w:keepLines w:val="0"/>
        <w:framePr w:w="1248" w:h="182" w:wrap="none" w:hAnchor="page" w:x="14808" w:y="103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0"/>
          <w:szCs w:val="10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pl-PL" w:eastAsia="pl-PL" w:bidi="pl-PL"/>
        </w:rPr>
        <w:t>OBMBS nr: 95-18370</w:t>
      </w:r>
    </w:p>
    <w:p>
      <w:pPr>
        <w:pStyle w:val="Style4"/>
        <w:keepNext w:val="0"/>
        <w:keepLines w:val="0"/>
        <w:framePr w:w="984" w:h="475" w:wrap="none" w:hAnchor="page" w:x="14808" w:y="10566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pl-PL" w:eastAsia="pl-PL" w:bidi="pl-PL"/>
        </w:rPr>
        <w:t>Rysunek nr:</w:t>
      </w:r>
    </w:p>
    <w:p>
      <w:pPr>
        <w:pStyle w:val="Style4"/>
        <w:keepNext w:val="0"/>
        <w:keepLines w:val="0"/>
        <w:framePr w:w="984" w:h="475" w:wrap="none" w:hAnchor="page" w:x="14808" w:y="105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000000"/>
          <w:spacing w:val="0"/>
          <w:w w:val="70"/>
          <w:position w:val="0"/>
          <w:sz w:val="20"/>
          <w:szCs w:val="20"/>
          <w:shd w:val="clear" w:color="auto" w:fill="auto"/>
          <w:lang w:val="pl-PL" w:eastAsia="pl-PL" w:bidi="pl-PL"/>
        </w:rPr>
        <w:t>E-03</w:t>
      </w:r>
    </w:p>
    <w:p>
      <w:pPr>
        <w:widowControl w:val="0"/>
        <w:spacing w:line="360" w:lineRule="exact"/>
      </w:pPr>
      <w:r>
        <w:drawing>
          <wp:anchor distT="0" distB="0" distL="298450" distR="460375" simplePos="0" relativeHeight="62914690" behindDoc="1" locked="0" layoutInCell="1" allowOverlap="1">
            <wp:simplePos x="0" y="0"/>
            <wp:positionH relativeFrom="page">
              <wp:posOffset>8551545</wp:posOffset>
            </wp:positionH>
            <wp:positionV relativeFrom="margin">
              <wp:posOffset>5556250</wp:posOffset>
            </wp:positionV>
            <wp:extent cx="847090" cy="615950"/>
            <wp:wrapNone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847090" cy="6159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margin">
              <wp:posOffset>1703705</wp:posOffset>
            </wp:positionH>
            <wp:positionV relativeFrom="margin">
              <wp:posOffset>2301240</wp:posOffset>
            </wp:positionV>
            <wp:extent cx="7644130" cy="2609215"/>
            <wp:wrapNone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7644130" cy="260921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1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499" w:right="454" w:bottom="147" w:left="440" w:header="71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framePr w:w="3322" w:h="1219" w:wrap="none" w:hAnchor="page" w:x="557" w:y="361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center"/>
        <w:rPr>
          <w:sz w:val="26"/>
          <w:szCs w:val="26"/>
        </w:rPr>
      </w:pPr>
      <w:r>
        <w:rPr>
          <w:rFonts w:ascii="Arial" w:eastAsia="Arial" w:hAnsi="Arial" w:cs="Arial"/>
          <w:color w:val="ED7186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>ST A Pt O STA</w:t>
        <w:br/>
        <w:t>GOLUBSKO~DOBRZVŃSKI</w:t>
        <w:br/>
        <w:t>ul. Plac Tysiąclecia 25</w:t>
        <w:br/>
        <w:t>87-400 Golub-Dobrzyn</w:t>
      </w:r>
    </w:p>
    <w:p>
      <w:pPr>
        <w:pStyle w:val="Style4"/>
        <w:keepNext w:val="0"/>
        <w:keepLines w:val="0"/>
        <w:framePr w:w="6000" w:h="586" w:wrap="none" w:hAnchor="page" w:x="10262" w:y="1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  <w:rPr>
          <w:sz w:val="15"/>
          <w:szCs w:val="15"/>
        </w:rPr>
      </w:pPr>
      <w:r>
        <w:rPr>
          <w:rFonts w:ascii="Arial" w:eastAsia="Arial" w:hAnsi="Arial" w:cs="Arial"/>
          <w:color w:val="ED7186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Poświadczam zgodność treści ninijeszej mapy z treścią mapy do celów projektowych opracowanej przez uprawnionego geodetę, uzyskanej i zatwierdzonej przez Państwowy Ośrodek Dokumentacji Geodezyjnej i Kartoficznej - PODGiK w Golubiu-Dobrzyniu</w:t>
      </w:r>
    </w:p>
    <w:p>
      <w:pPr>
        <w:pStyle w:val="Style4"/>
        <w:keepNext w:val="0"/>
        <w:keepLines w:val="0"/>
        <w:framePr w:w="864" w:h="173" w:wrap="none" w:hAnchor="page" w:x="10267" w:y="5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5"/>
          <w:szCs w:val="15"/>
        </w:rPr>
      </w:pPr>
      <w:r>
        <w:rPr>
          <w:rFonts w:ascii="Arial" w:eastAsia="Arial" w:hAnsi="Arial" w:cs="Arial"/>
          <w:color w:val="ED7186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10.11.2020r</w:t>
      </w:r>
    </w:p>
    <w:p>
      <w:pPr>
        <w:pStyle w:val="Style4"/>
        <w:keepNext w:val="0"/>
        <w:keepLines w:val="0"/>
        <w:framePr w:w="773" w:h="211" w:wrap="none" w:hAnchor="page" w:x="10272" w:y="7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Arial" w:eastAsia="Arial" w:hAnsi="Arial" w:cs="Arial"/>
          <w:color w:val="ED7186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Projektant:</w:t>
      </w:r>
    </w:p>
    <w:p>
      <w:pPr>
        <w:pStyle w:val="Style4"/>
        <w:keepNext w:val="0"/>
        <w:keepLines w:val="0"/>
        <w:framePr w:w="686" w:h="211" w:wrap="none" w:hAnchor="page" w:x="10272" w:y="18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Arial" w:eastAsia="Arial" w:hAnsi="Arial" w:cs="Arial"/>
          <w:color w:val="ED7186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Legenda:</w:t>
      </w:r>
    </w:p>
    <w:p>
      <w:pPr>
        <w:pStyle w:val="Style4"/>
        <w:keepNext w:val="0"/>
        <w:keepLines w:val="0"/>
        <w:framePr w:w="4286" w:h="1752" w:wrap="none" w:hAnchor="page" w:x="11150" w:y="846"/>
        <w:widowControl w:val="0"/>
        <w:shd w:val="clear" w:color="auto" w:fill="auto"/>
        <w:bidi w:val="0"/>
        <w:spacing w:before="0" w:after="0" w:line="218" w:lineRule="auto"/>
        <w:ind w:left="0" w:right="0" w:firstLine="0"/>
        <w:jc w:val="center"/>
        <w:rPr>
          <w:sz w:val="18"/>
          <w:szCs w:val="18"/>
        </w:rPr>
      </w:pPr>
      <w:r>
        <w:rPr>
          <w:rFonts w:ascii="Arial" w:eastAsia="Arial" w:hAnsi="Arial" w:cs="Arial"/>
          <w:b/>
          <w:bCs/>
          <w:color w:val="7170A6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mgr inż. Karol&gt;7wejia^</w:t>
      </w:r>
    </w:p>
    <w:p>
      <w:pPr>
        <w:pStyle w:val="Style4"/>
        <w:keepNext w:val="0"/>
        <w:keepLines w:val="0"/>
        <w:framePr w:w="4286" w:h="1752" w:wrap="none" w:hAnchor="page" w:x="11150" w:y="846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  <w:rPr>
          <w:sz w:val="16"/>
          <w:szCs w:val="16"/>
        </w:rPr>
      </w:pPr>
      <w:r>
        <w:rPr>
          <w:rFonts w:ascii="Arial" w:eastAsia="Arial" w:hAnsi="Arial" w:cs="Arial"/>
          <w:color w:val="7170A6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Uprawnienia budwWfie_ds&gt;pfojektowania</w:t>
        <w:br/>
        <w:t>bez ograniczeń u/^pepaffiości instalacyjnej</w:t>
        <w:br/>
        <w:t>w zakresie siW^Ksal^rTurzędzeń</w:t>
        <w:br/>
        <w:t>elekttycznu05&lt;etektroStergetycznych</w:t>
        <w:br/>
        <w:t>nt^td.: KUP/OI28/PBE/19</w:t>
      </w:r>
    </w:p>
    <w:p>
      <w:pPr>
        <w:pStyle w:val="Style4"/>
        <w:keepNext w:val="0"/>
        <w:keepLines w:val="0"/>
        <w:framePr w:w="4286" w:h="1752" w:wrap="none" w:hAnchor="page" w:x="11150" w:y="846"/>
        <w:widowControl w:val="0"/>
        <w:shd w:val="clear" w:color="auto" w:fill="auto"/>
        <w:bidi w:val="0"/>
        <w:spacing w:before="0" w:after="80" w:line="262" w:lineRule="auto"/>
        <w:ind w:left="0" w:right="0" w:firstLine="0"/>
        <w:jc w:val="left"/>
        <w:rPr>
          <w:sz w:val="15"/>
          <w:szCs w:val="15"/>
        </w:rPr>
      </w:pPr>
      <w:r>
        <w:rPr>
          <w:rFonts w:ascii="Arial" w:eastAsia="Arial" w:hAnsi="Arial" w:cs="Arial"/>
          <w:color w:val="ED7186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- powierzchnia zajęcia pasa w celu przebudowy sieci SN 15kV (Łączna powierzchnia zajęcia: 816,6 nr?)</w:t>
      </w:r>
    </w:p>
    <w:p>
      <w:pPr>
        <w:pStyle w:val="Style39"/>
        <w:keepNext/>
        <w:keepLines/>
        <w:framePr w:w="4694" w:h="773" w:wrap="none" w:hAnchor="page" w:x="10358" w:y="7988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4" w:name="bookmark4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istn. linia napowietrzna SN -15 kV do demontażu</w:t>
      </w:r>
      <w:bookmarkEnd w:id="4"/>
    </w:p>
    <w:p>
      <w:pPr>
        <w:pStyle w:val="Style39"/>
        <w:keepNext/>
        <w:keepLines/>
        <w:framePr w:w="1891" w:h="365" w:wrap="none" w:hAnchor="page" w:x="499" w:y="94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" w:name="bookmark6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ia SN-15kV</w:t>
      </w:r>
      <w:bookmarkEnd w:id="6"/>
    </w:p>
    <w:tbl>
      <w:tblPr>
        <w:tblOverlap w:val="never"/>
        <w:jc w:val="left"/>
        <w:tblLayout w:type="fixed"/>
      </w:tblPr>
      <w:tblGrid>
        <w:gridCol w:w="739"/>
        <w:gridCol w:w="1747"/>
        <w:gridCol w:w="1910"/>
        <w:gridCol w:w="869"/>
        <w:gridCol w:w="960"/>
      </w:tblGrid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6226" w:h="898" w:wrap="none" w:hAnchor="page" w:x="8630" w:y="8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Opracował: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6226" w:h="898" w:wrap="none" w:hAnchor="page" w:x="8630" w:y="8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inż. Maciej Kaczmarek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6226" w:h="898" w:wrap="none" w:hAnchor="page" w:x="8630" w:y="883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6226" w:h="898" w:wrap="none" w:hAnchor="page" w:x="8630" w:y="883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6226" w:h="898" w:wrap="none" w:hAnchor="page" w:x="8630" w:y="883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6226" w:h="898" w:wrap="none" w:hAnchor="page" w:x="8630" w:y="8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Projektował: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6226" w:h="898" w:wrap="none" w:hAnchor="page" w:x="8630" w:y="8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mgr inż. Karol Szweda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6226" w:h="898" w:wrap="none" w:hAnchor="page" w:x="8630" w:y="8833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 xml:space="preserve">mstfltacyjra • nnrese </w:t>
            </w:r>
            <w:r>
              <w:rPr>
                <w:rFonts w:ascii="Arial" w:eastAsia="Arial" w:hAnsi="Arial" w:cs="Arial"/>
                <w:smallCap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ho.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 xml:space="preserve"> mtołacj i urządzeń elektrycznych i ebUłWWOBlycnijch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6226" w:h="898" w:wrap="none" w:hAnchor="page" w:x="8630" w:y="8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KUP/0128/PBE/19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6226" w:h="898" w:wrap="none" w:hAnchor="page" w:x="8630" w:y="883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6226" w:h="898" w:wrap="none" w:hAnchor="page" w:x="8630" w:y="8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Sprawdzi):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6226" w:h="898" w:wrap="none" w:hAnchor="page" w:x="8630" w:y="883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6226" w:h="898" w:wrap="none" w:hAnchor="page" w:x="8630" w:y="883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6226" w:h="898" w:wrap="none" w:hAnchor="page" w:x="8630" w:y="883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6226" w:h="898" w:wrap="none" w:hAnchor="page" w:x="8630" w:y="883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6226" w:h="898" w:wrap="none" w:hAnchor="page" w:x="8630" w:y="883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6226" w:h="898" w:wrap="none" w:hAnchor="page" w:x="8630" w:y="8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Imię i nazwisko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6226" w:h="898" w:wrap="none" w:hAnchor="page" w:x="8630" w:y="8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Specjalność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6226" w:h="898" w:wrap="none" w:hAnchor="page" w:x="8630" w:y="8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Nr uprawnień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6226" w:h="898" w:wrap="none" w:hAnchor="page" w:x="8630" w:y="8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Podpis</w:t>
            </w:r>
          </w:p>
        </w:tc>
      </w:tr>
    </w:tbl>
    <w:p>
      <w:pPr>
        <w:framePr w:w="6226" w:h="898" w:wrap="none" w:hAnchor="page" w:x="8630" w:y="8833"/>
        <w:widowControl w:val="0"/>
        <w:spacing w:line="1" w:lineRule="exact"/>
      </w:pPr>
    </w:p>
    <w:p>
      <w:pPr>
        <w:pStyle w:val="Style4"/>
        <w:keepNext w:val="0"/>
        <w:keepLines w:val="0"/>
        <w:framePr w:w="1186" w:h="422" w:wrap="none" w:hAnchor="page" w:x="14851" w:y="8847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pl-PL" w:eastAsia="pl-PL" w:bidi="pl-PL"/>
        </w:rPr>
        <w:t>Dota:</w:t>
      </w:r>
    </w:p>
    <w:p>
      <w:pPr>
        <w:pStyle w:val="Style4"/>
        <w:keepNext w:val="0"/>
        <w:keepLines w:val="0"/>
        <w:framePr w:w="1186" w:h="422" w:wrap="none" w:hAnchor="page" w:x="14851" w:y="88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000000"/>
          <w:spacing w:val="0"/>
          <w:w w:val="70"/>
          <w:position w:val="0"/>
          <w:sz w:val="20"/>
          <w:szCs w:val="20"/>
          <w:shd w:val="clear" w:color="auto" w:fill="auto"/>
          <w:lang w:val="pl-PL" w:eastAsia="pl-PL" w:bidi="pl-PL"/>
        </w:rPr>
        <w:t>10.11.2020</w:t>
      </w:r>
    </w:p>
    <w:p>
      <w:pPr>
        <w:pStyle w:val="Style4"/>
        <w:keepNext w:val="0"/>
        <w:keepLines w:val="0"/>
        <w:framePr w:w="3456" w:h="504" w:wrap="none" w:hAnchor="page" w:x="8674" w:y="97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pl-PL" w:eastAsia="pl-PL" w:bidi="pl-PL"/>
        </w:rPr>
        <w:t>Tytuł rysunku:</w:t>
      </w:r>
    </w:p>
    <w:p>
      <w:pPr>
        <w:pStyle w:val="Style4"/>
        <w:keepNext w:val="0"/>
        <w:keepLines w:val="0"/>
        <w:framePr w:w="3456" w:h="504" w:wrap="none" w:hAnchor="page" w:x="8674" w:y="9702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  <w:rPr>
          <w:sz w:val="26"/>
          <w:szCs w:val="26"/>
        </w:rPr>
      </w:pPr>
      <w:r>
        <w:rPr>
          <w:rFonts w:ascii="Arial" w:eastAsia="Arial" w:hAnsi="Arial" w:cs="Arial"/>
          <w:color w:val="000000"/>
          <w:spacing w:val="0"/>
          <w:w w:val="60"/>
          <w:position w:val="0"/>
          <w:sz w:val="26"/>
          <w:szCs w:val="26"/>
          <w:shd w:val="clear" w:color="auto" w:fill="auto"/>
          <w:lang w:val="pl-PL" w:eastAsia="pl-PL" w:bidi="pl-PL"/>
        </w:rPr>
        <w:t>PROJEKT ZAGOSPODAROWANIA TERENU</w:t>
      </w:r>
    </w:p>
    <w:p>
      <w:pPr>
        <w:pStyle w:val="Style4"/>
        <w:keepNext w:val="0"/>
        <w:keepLines w:val="0"/>
        <w:framePr w:w="2270" w:h="422" w:wrap="none" w:hAnchor="page" w:x="8760" w:y="10619"/>
        <w:widowControl w:val="0"/>
        <w:shd w:val="clear" w:color="auto" w:fill="auto"/>
        <w:tabs>
          <w:tab w:pos="787" w:val="left"/>
          <w:tab w:pos="1195" w:val="left"/>
        </w:tabs>
        <w:bidi w:val="0"/>
        <w:spacing w:before="0" w:after="0" w:line="324" w:lineRule="auto"/>
        <w:ind w:left="0" w:right="0" w:firstLine="0"/>
        <w:jc w:val="left"/>
        <w:rPr>
          <w:sz w:val="9"/>
          <w:szCs w:val="9"/>
        </w:rPr>
      </w:pPr>
      <w:r>
        <w:rPr>
          <w:rFonts w:ascii="Arial" w:eastAsia="Arial" w:hAnsi="Arial" w:cs="Arial"/>
          <w:b/>
          <w:bCs/>
          <w:color w:val="65B093"/>
          <w:spacing w:val="0"/>
          <w:w w:val="100"/>
          <w:position w:val="0"/>
          <w:sz w:val="9"/>
          <w:szCs w:val="9"/>
          <w:shd w:val="clear" w:color="auto" w:fill="auto"/>
          <w:lang w:val="pl-PL" w:eastAsia="pl-PL" w:bidi="pl-PL"/>
        </w:rPr>
        <w:t>—</w:t>
        <w:tab/>
        <w:t>.</w:t>
        <w:tab/>
      </w: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9"/>
          <w:szCs w:val="9"/>
          <w:shd w:val="clear" w:color="auto" w:fill="auto"/>
          <w:lang w:val="pl-PL" w:eastAsia="pl-PL" w:bidi="pl-PL"/>
        </w:rPr>
        <w:t>ENERGA kivesl Sp. z o.a</w:t>
      </w:r>
    </w:p>
    <w:p>
      <w:pPr>
        <w:pStyle w:val="Style4"/>
        <w:keepNext w:val="0"/>
        <w:keepLines w:val="0"/>
        <w:framePr w:w="2270" w:h="422" w:wrap="none" w:hAnchor="page" w:x="8760" w:y="10619"/>
        <w:widowControl w:val="0"/>
        <w:shd w:val="clear" w:color="auto" w:fill="auto"/>
        <w:tabs>
          <w:tab w:pos="989" w:val="left"/>
        </w:tabs>
        <w:bidi w:val="0"/>
        <w:spacing w:before="0" w:after="0" w:line="240" w:lineRule="auto"/>
        <w:ind w:left="0" w:right="0" w:firstLine="0"/>
        <w:jc w:val="center"/>
        <w:rPr>
          <w:sz w:val="9"/>
          <w:szCs w:val="9"/>
        </w:rPr>
      </w:pPr>
      <w:r>
        <w:rPr>
          <w:rFonts w:ascii="Arial" w:eastAsia="Arial" w:hAnsi="Arial" w:cs="Arial"/>
          <w:b/>
          <w:bCs/>
          <w:i/>
          <w:i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 xml:space="preserve">Energa </w:t>
      </w:r>
      <w:r>
        <w:rPr>
          <w:rFonts w:ascii="Arial" w:eastAsia="Arial" w:hAnsi="Arial" w:cs="Arial"/>
          <w:b/>
          <w:bCs/>
          <w:i/>
          <w:iCs/>
          <w:color w:val="7E6969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w*</w:t>
      </w:r>
      <w:r>
        <w:rPr>
          <w:rFonts w:ascii="Arial" w:eastAsia="Arial" w:hAnsi="Arial" w:cs="Arial"/>
          <w:b/>
          <w:bCs/>
          <w:color w:val="7E6969"/>
          <w:spacing w:val="0"/>
          <w:w w:val="100"/>
          <w:position w:val="0"/>
          <w:sz w:val="9"/>
          <w:szCs w:val="9"/>
          <w:shd w:val="clear" w:color="auto" w:fill="auto"/>
          <w:lang w:val="pl-PL" w:eastAsia="pl-PL" w:bidi="pl-PL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9"/>
          <w:szCs w:val="9"/>
          <w:shd w:val="clear" w:color="auto" w:fill="auto"/>
          <w:lang w:val="pl-PL" w:eastAsia="pl-PL" w:bidi="pl-PL"/>
        </w:rPr>
        <w:t>ui.&amp;wwoktzko 472</w:t>
        <w:br/>
        <w:t>'</w:t>
        <w:tab/>
        <w:t>80-309 Gdańsk</w:t>
      </w:r>
    </w:p>
    <w:p>
      <w:pPr>
        <w:pStyle w:val="Style4"/>
        <w:keepNext w:val="0"/>
        <w:keepLines w:val="0"/>
        <w:framePr w:w="3566" w:h="341" w:wrap="none" w:hAnchor="page" w:x="11030" w:y="103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pl-PL" w:eastAsia="pl-PL" w:bidi="pl-PL"/>
        </w:rPr>
        <w:t>Nazwo i adres obiektu:</w:t>
      </w:r>
    </w:p>
    <w:p>
      <w:pPr>
        <w:pStyle w:val="Style4"/>
        <w:keepNext w:val="0"/>
        <w:keepLines w:val="0"/>
        <w:framePr w:w="3566" w:h="341" w:wrap="none" w:hAnchor="page" w:x="11030" w:y="103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9"/>
          <w:szCs w:val="9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9"/>
          <w:szCs w:val="9"/>
          <w:shd w:val="clear" w:color="auto" w:fill="auto"/>
          <w:lang w:val="pl-PL" w:eastAsia="pl-PL" w:bidi="pl-PL"/>
        </w:rPr>
        <w:t>Przebudowo linii napowietrznej SN no linię kablową SN relacji GPZ GOLUB</w:t>
      </w:r>
    </w:p>
    <w:p>
      <w:pPr>
        <w:pStyle w:val="Style4"/>
        <w:keepNext w:val="0"/>
        <w:keepLines w:val="0"/>
        <w:framePr w:w="1013" w:h="192" w:wrap="none" w:hAnchor="page" w:x="11035" w:y="107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9"/>
          <w:szCs w:val="9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9"/>
          <w:szCs w:val="9"/>
          <w:shd w:val="clear" w:color="auto" w:fill="auto"/>
          <w:lang w:val="pl-PL" w:eastAsia="pl-PL" w:bidi="pl-PL"/>
        </w:rPr>
        <w:t>DOBRZYŃ - LIPNICA</w:t>
      </w:r>
    </w:p>
    <w:p>
      <w:pPr>
        <w:pStyle w:val="Style4"/>
        <w:keepNext w:val="0"/>
        <w:keepLines w:val="0"/>
        <w:framePr w:w="1286" w:h="1766" w:wrap="none" w:hAnchor="page" w:x="14861" w:y="927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pl-PL" w:eastAsia="pl-PL" w:bidi="pl-PL"/>
        </w:rPr>
        <w:t>Opracowanie:</w:t>
      </w:r>
    </w:p>
    <w:p>
      <w:pPr>
        <w:pStyle w:val="Style4"/>
        <w:keepNext w:val="0"/>
        <w:keepLines w:val="0"/>
        <w:framePr w:w="1286" w:h="1766" w:wrap="none" w:hAnchor="page" w:x="14861" w:y="927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  <w:rPr>
          <w:sz w:val="20"/>
          <w:szCs w:val="20"/>
        </w:rPr>
      </w:pPr>
      <w:r>
        <w:rPr>
          <w:rFonts w:ascii="Arial" w:eastAsia="Arial" w:hAnsi="Arial" w:cs="Arial"/>
          <w:color w:val="000000"/>
          <w:spacing w:val="0"/>
          <w:w w:val="70"/>
          <w:position w:val="0"/>
          <w:sz w:val="20"/>
          <w:szCs w:val="20"/>
          <w:shd w:val="clear" w:color="auto" w:fill="auto"/>
          <w:lang w:val="pl-PL" w:eastAsia="pl-PL" w:bidi="pl-PL"/>
        </w:rPr>
        <w:t>_ _Art. 124—</w:t>
      </w:r>
    </w:p>
    <w:p>
      <w:pPr>
        <w:pStyle w:val="Style4"/>
        <w:keepNext w:val="0"/>
        <w:keepLines w:val="0"/>
        <w:framePr w:w="1286" w:h="1766" w:wrap="none" w:hAnchor="page" w:x="14861" w:y="9270"/>
        <w:widowControl w:val="0"/>
        <w:shd w:val="clear" w:color="auto" w:fill="auto"/>
        <w:bidi w:val="0"/>
        <w:spacing w:before="0" w:after="60" w:line="262" w:lineRule="auto"/>
        <w:ind w:left="0" w:right="0" w:firstLine="0"/>
        <w:jc w:val="left"/>
        <w:rPr>
          <w:sz w:val="10"/>
          <w:szCs w:val="10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pl-PL" w:eastAsia="pl-PL" w:bidi="pl-PL"/>
        </w:rPr>
        <w:t>Skala:</w:t>
      </w:r>
    </w:p>
    <w:p>
      <w:pPr>
        <w:pStyle w:val="Style4"/>
        <w:keepNext w:val="0"/>
        <w:keepLines w:val="0"/>
        <w:framePr w:w="1286" w:h="1766" w:wrap="none" w:hAnchor="page" w:x="14861" w:y="9270"/>
        <w:widowControl w:val="0"/>
        <w:shd w:val="clear" w:color="auto" w:fill="auto"/>
        <w:bidi w:val="0"/>
        <w:spacing w:before="0" w:after="60" w:line="197" w:lineRule="auto"/>
        <w:ind w:left="0" w:right="0" w:firstLine="540"/>
        <w:jc w:val="left"/>
        <w:rPr>
          <w:sz w:val="20"/>
          <w:szCs w:val="20"/>
        </w:rPr>
      </w:pPr>
      <w:r>
        <w:rPr>
          <w:rFonts w:ascii="Arial" w:eastAsia="Arial" w:hAnsi="Arial" w:cs="Arial"/>
          <w:color w:val="000000"/>
          <w:spacing w:val="0"/>
          <w:w w:val="70"/>
          <w:position w:val="0"/>
          <w:sz w:val="20"/>
          <w:szCs w:val="20"/>
          <w:shd w:val="clear" w:color="auto" w:fill="auto"/>
          <w:lang w:val="pl-PL" w:eastAsia="pl-PL" w:bidi="pl-PL"/>
        </w:rPr>
        <w:t>1:500</w:t>
      </w:r>
    </w:p>
    <w:p>
      <w:pPr>
        <w:pStyle w:val="Style4"/>
        <w:keepNext w:val="0"/>
        <w:keepLines w:val="0"/>
        <w:framePr w:w="1286" w:h="1766" w:wrap="none" w:hAnchor="page" w:x="14861" w:y="927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pl-PL" w:eastAsia="pl-PL" w:bidi="pl-PL"/>
        </w:rPr>
        <w:t>Rewizja nr: -</w:t>
      </w:r>
    </w:p>
    <w:p>
      <w:pPr>
        <w:pStyle w:val="Style4"/>
        <w:keepNext w:val="0"/>
        <w:keepLines w:val="0"/>
        <w:framePr w:w="1286" w:h="1766" w:wrap="none" w:hAnchor="page" w:x="14861" w:y="927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pl-PL" w:eastAsia="pl-PL" w:bidi="pl-PL"/>
        </w:rPr>
        <w:t>OBMBS nn 95-18370</w:t>
      </w:r>
    </w:p>
    <w:p>
      <w:pPr>
        <w:pStyle w:val="Style4"/>
        <w:keepNext w:val="0"/>
        <w:keepLines w:val="0"/>
        <w:framePr w:w="1286" w:h="1766" w:wrap="none" w:hAnchor="page" w:x="14861" w:y="927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pl-PL" w:eastAsia="pl-PL" w:bidi="pl-PL"/>
        </w:rPr>
        <w:t>Rysunek nr:</w:t>
      </w:r>
    </w:p>
    <w:p>
      <w:pPr>
        <w:pStyle w:val="Style4"/>
        <w:keepNext w:val="0"/>
        <w:keepLines w:val="0"/>
        <w:framePr w:w="1286" w:h="1766" w:wrap="none" w:hAnchor="page" w:x="14861" w:y="9270"/>
        <w:widowControl w:val="0"/>
        <w:shd w:val="clear" w:color="auto" w:fill="auto"/>
        <w:bidi w:val="0"/>
        <w:spacing w:before="0" w:after="60" w:line="197" w:lineRule="auto"/>
        <w:ind w:left="0" w:right="0" w:firstLine="540"/>
        <w:jc w:val="left"/>
        <w:rPr>
          <w:sz w:val="20"/>
          <w:szCs w:val="20"/>
        </w:rPr>
      </w:pPr>
      <w:r>
        <w:rPr>
          <w:rFonts w:ascii="Arial" w:eastAsia="Arial" w:hAnsi="Arial" w:cs="Arial"/>
          <w:color w:val="000000"/>
          <w:spacing w:val="0"/>
          <w:w w:val="70"/>
          <w:position w:val="0"/>
          <w:sz w:val="20"/>
          <w:szCs w:val="20"/>
          <w:shd w:val="clear" w:color="auto" w:fill="auto"/>
          <w:lang w:val="pl-PL" w:eastAsia="pl-PL" w:bidi="pl-PL"/>
        </w:rPr>
        <w:t>E-02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2626995</wp:posOffset>
            </wp:positionH>
            <wp:positionV relativeFrom="margin">
              <wp:posOffset>52070</wp:posOffset>
            </wp:positionV>
            <wp:extent cx="2731135" cy="1621790"/>
            <wp:wrapNone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2731135" cy="16217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316230</wp:posOffset>
            </wp:positionH>
            <wp:positionV relativeFrom="margin">
              <wp:posOffset>1953895</wp:posOffset>
            </wp:positionV>
            <wp:extent cx="10039985" cy="3048000"/>
            <wp:wrapNone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10039985" cy="30480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99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483" w:right="530" w:bottom="177" w:left="498" w:header="55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Inne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Nagłówek #2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color w:val="ED7186"/>
      <w:sz w:val="26"/>
      <w:szCs w:val="26"/>
      <w:u w:val="none"/>
    </w:rPr>
  </w:style>
  <w:style w:type="character" w:customStyle="1" w:styleId="CharStyle37">
    <w:name w:val="Podpis obrazu_"/>
    <w:basedOn w:val="DefaultParagraphFont"/>
    <w:link w:val="Style36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40">
    <w:name w:val="Nagłówek #1_"/>
    <w:basedOn w:val="DefaultParagraphFont"/>
    <w:link w:val="Style39"/>
    <w:rPr>
      <w:rFonts w:ascii="Arial" w:eastAsia="Arial" w:hAnsi="Arial" w:cs="Arial"/>
      <w:b w:val="0"/>
      <w:bCs w:val="0"/>
      <w:i w:val="0"/>
      <w:iCs w:val="0"/>
      <w:smallCaps w:val="0"/>
      <w:strike w:val="0"/>
      <w:color w:val="ED7186"/>
      <w:sz w:val="30"/>
      <w:szCs w:val="30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Inne"/>
    <w:basedOn w:val="Normal"/>
    <w:link w:val="CharStyle5"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7">
    <w:name w:val="Nagłówek #2"/>
    <w:basedOn w:val="Normal"/>
    <w:link w:val="CharStyle8"/>
    <w:pPr>
      <w:widowControl w:val="0"/>
      <w:shd w:val="clear" w:color="auto" w:fill="auto"/>
      <w:spacing w:after="100" w:line="214" w:lineRule="auto"/>
      <w:ind w:left="280" w:hanging="280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ED7186"/>
      <w:sz w:val="26"/>
      <w:szCs w:val="26"/>
      <w:u w:val="none"/>
    </w:rPr>
  </w:style>
  <w:style w:type="paragraph" w:customStyle="1" w:styleId="Style36">
    <w:name w:val="Podpis obrazu"/>
    <w:basedOn w:val="Normal"/>
    <w:link w:val="CharStyle37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Style39">
    <w:name w:val="Nagłówek #1"/>
    <w:basedOn w:val="Normal"/>
    <w:link w:val="CharStyle40"/>
    <w:pPr>
      <w:widowControl w:val="0"/>
      <w:shd w:val="clear" w:color="auto" w:fill="auto"/>
      <w:spacing w:line="262" w:lineRule="auto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ED7186"/>
      <w:sz w:val="30"/>
      <w:szCs w:val="3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SKM_C250i210701132100</dc:title>
  <dc:subject/>
  <dc:creator/>
  <cp:keywords/>
</cp:coreProperties>
</file>